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02" w:rsidRPr="00CD6302" w:rsidRDefault="00CD6302" w:rsidP="00CD6302">
      <w:pPr>
        <w:spacing w:after="0" w:line="450" w:lineRule="atLeast"/>
        <w:outlineLvl w:val="0"/>
        <w:rPr>
          <w:rFonts w:ascii="Arial" w:eastAsia="Times New Roman" w:hAnsi="Arial" w:cs="Arial"/>
          <w:b/>
          <w:bCs/>
          <w:caps/>
          <w:color w:val="F69520"/>
          <w:kern w:val="36"/>
          <w:sz w:val="36"/>
          <w:szCs w:val="36"/>
          <w:lang w:eastAsia="ru-RU"/>
        </w:rPr>
      </w:pPr>
      <w:r w:rsidRPr="00CD6302">
        <w:rPr>
          <w:rFonts w:ascii="Arial" w:eastAsia="Times New Roman" w:hAnsi="Arial" w:cs="Arial"/>
          <w:b/>
          <w:bCs/>
          <w:caps/>
          <w:color w:val="F69520"/>
          <w:kern w:val="36"/>
          <w:sz w:val="36"/>
          <w:szCs w:val="36"/>
          <w:lang w:eastAsia="ru-RU"/>
        </w:rPr>
        <w:t>ПРОЕКТНАЯ ДЕКЛАРАЦИЯ ЖК "ЗОЛОТЫЕ КЛЮЧИ"</w:t>
      </w:r>
    </w:p>
    <w:p w:rsidR="00CD6302" w:rsidRPr="00CD6302" w:rsidRDefault="00CD6302" w:rsidP="00CD6302">
      <w:pPr>
        <w:spacing w:after="0" w:line="336" w:lineRule="atLeast"/>
        <w:outlineLvl w:val="3"/>
        <w:rPr>
          <w:rFonts w:ascii="Arial" w:eastAsia="Times New Roman" w:hAnsi="Arial" w:cs="Arial"/>
          <w:color w:val="F69520"/>
          <w:sz w:val="24"/>
          <w:szCs w:val="24"/>
          <w:lang w:eastAsia="ru-RU"/>
        </w:rPr>
      </w:pPr>
      <w:r w:rsidRPr="00CD6302">
        <w:rPr>
          <w:rFonts w:ascii="Arial" w:eastAsia="Times New Roman" w:hAnsi="Arial" w:cs="Arial"/>
          <w:color w:val="F69520"/>
          <w:sz w:val="24"/>
          <w:szCs w:val="24"/>
          <w:lang w:eastAsia="ru-RU"/>
        </w:rPr>
        <w:t xml:space="preserve">1-я очередь строительства, </w:t>
      </w:r>
      <w:proofErr w:type="spellStart"/>
      <w:r w:rsidRPr="00CD6302">
        <w:rPr>
          <w:rFonts w:ascii="Arial" w:eastAsia="Times New Roman" w:hAnsi="Arial" w:cs="Arial"/>
          <w:color w:val="F69520"/>
          <w:sz w:val="24"/>
          <w:szCs w:val="24"/>
          <w:lang w:eastAsia="ru-RU"/>
        </w:rPr>
        <w:t>Рыбновский</w:t>
      </w:r>
      <w:proofErr w:type="spellEnd"/>
      <w:r w:rsidRPr="00CD6302">
        <w:rPr>
          <w:rFonts w:ascii="Arial" w:eastAsia="Times New Roman" w:hAnsi="Arial" w:cs="Arial"/>
          <w:color w:val="F69520"/>
          <w:sz w:val="24"/>
          <w:szCs w:val="24"/>
          <w:lang w:eastAsia="ru-RU"/>
        </w:rPr>
        <w:t xml:space="preserve"> район, г. Рыбное, ул. Крымская (ул. Большая)</w:t>
      </w:r>
    </w:p>
    <w:p w:rsidR="00CD6302" w:rsidRPr="00CD6302" w:rsidRDefault="00CD6302" w:rsidP="00CD6302">
      <w:pPr>
        <w:spacing w:after="0" w:line="336" w:lineRule="atLeast"/>
        <w:outlineLvl w:val="4"/>
        <w:rPr>
          <w:rFonts w:ascii="Arial" w:eastAsia="Times New Roman" w:hAnsi="Arial" w:cs="Arial"/>
          <w:color w:val="F69520"/>
          <w:sz w:val="21"/>
          <w:szCs w:val="21"/>
          <w:lang w:eastAsia="ru-RU"/>
        </w:rPr>
      </w:pPr>
      <w:r w:rsidRPr="00CD6302">
        <w:rPr>
          <w:rFonts w:ascii="Arial" w:eastAsia="Times New Roman" w:hAnsi="Arial" w:cs="Arial"/>
          <w:color w:val="F69520"/>
          <w:sz w:val="21"/>
          <w:szCs w:val="21"/>
          <w:lang w:eastAsia="ru-RU"/>
        </w:rPr>
        <w:t>Дата публикации: 4 декабря 2014 г.</w:t>
      </w:r>
    </w:p>
    <w:p w:rsidR="00CD6302" w:rsidRPr="00CD6302" w:rsidRDefault="00CD6302" w:rsidP="00CD6302">
      <w:pPr>
        <w:spacing w:after="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Общество с ограниченной ответственностью «Перспектива» начинает строительство многоквартирного жилого дома с техническим подпольем  по адресу: Рязанская область, </w:t>
      </w:r>
      <w:proofErr w:type="spellStart"/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Рыбновский</w:t>
      </w:r>
      <w:proofErr w:type="spellEnd"/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район, г. Рыбное, ул. Крымская(</w:t>
      </w:r>
      <w:proofErr w:type="spellStart"/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ул.Большая</w:t>
      </w:r>
      <w:proofErr w:type="spellEnd"/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), адрес строительный.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Информация о застройщике: Общество с ограниченной ответственностью «Перспектива» зарегистрировано МИФНС № 2 по Рязанской области 26 июня 2014 года за основным государственным регистрационным номером 1146234007490, юридический адрес: 390000, город Рязань, улица Горького, дом 59. 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Учредитель: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Артюшин Алексей Борисович— 100% голосов в управлении.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Местонахождение офиса продаж: 390000, город Рязань, улица Горького, дом 59.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Режим работы: 9.00 – 17.30 (понедельник - пятница), выходной — суббота, воскресенье.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Телефон/факс офиса продаж: (4912) 40-70-30.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ООО «Перспектива» впервые принимает участие в строительстве многоэтажных жилых домов.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Строительство будет осуществляться за счет собственных и привлекаемых от физических и юридических лиц денежных средств. Величина собственных средств – 10 000 (Десять тысяч) рублей.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Планируемая стоимость строительства многоквартирного жилого дома с техническим подпольем по  адресу: Рязанская область, </w:t>
      </w:r>
      <w:proofErr w:type="spellStart"/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Рыбновский</w:t>
      </w:r>
      <w:proofErr w:type="spellEnd"/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район, г. Рыбное, ул. Крымская(</w:t>
      </w:r>
      <w:proofErr w:type="spellStart"/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ул.Большая</w:t>
      </w:r>
      <w:proofErr w:type="spellEnd"/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), адрес</w:t>
      </w:r>
      <w:bookmarkStart w:id="0" w:name="_GoBack"/>
      <w:bookmarkEnd w:id="0"/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строительный, составляет 150 000 000 (Сто пятьдесят миллионов) рублей.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Размер кредиторской задолженности на день опубликования проектной декларации  составляет 0 (ноль) рублей.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Размер дебиторской задолженности на день опубликования проектной декларации  составляет 0 (ноль) рублей.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Информация, документы и отчетность застройщика, представляемые для ознакомления в соответствии с действующим законодательством, находятся в офисе по адресу: 390000, город Рязань, улица Горького, дом 59.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Цель проекта строительства: возведение многоквартирного жилого дома с техническим подпольем для удовлетворения потребностей физических и юридических лиц в жилых помещениях.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Строительство планируется осуществить в один этап.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Объект строительства включает 2 секции многоэтажного жилого дома. 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Количество этажей - 9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Начало строительства- 4 квартал 2014 года. Окончание </w:t>
      </w:r>
      <w:proofErr w:type="gramStart"/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строительства  –</w:t>
      </w:r>
      <w:proofErr w:type="gramEnd"/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4 квартал 2016 года. 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Разрешение на строительство № RU 62513000-285/14, получено 04 декабря 2014 года. Заключение негосударственной экспертизы проектной документации № 4-1-1-0443-14 от          01 декабря 2014 </w:t>
      </w:r>
      <w:proofErr w:type="gramStart"/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года  -</w:t>
      </w:r>
      <w:proofErr w:type="gramEnd"/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положительное. 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Строящийся многоэтажный жилой дом будет располагаться на земельном участке с 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кадастровым номером 62:13:0010107:2309 по адресу: Рязанская обл., </w:t>
      </w:r>
      <w:proofErr w:type="spellStart"/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Рыбновский</w:t>
      </w:r>
      <w:proofErr w:type="spellEnd"/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р-н, г. Рыбное, ул. </w:t>
      </w:r>
      <w:proofErr w:type="gramStart"/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Крымская(</w:t>
      </w:r>
      <w:proofErr w:type="spellStart"/>
      <w:proofErr w:type="gramEnd"/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ул.Большая</w:t>
      </w:r>
      <w:proofErr w:type="spellEnd"/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 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Земельный </w:t>
      </w:r>
      <w:proofErr w:type="gramStart"/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участок  с</w:t>
      </w:r>
      <w:proofErr w:type="gramEnd"/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кадастровым номером 62:13:0010107:2309 общей площадью 5634 кв. м., расположенный по адресу: Рязанская обл., </w:t>
      </w:r>
      <w:proofErr w:type="spellStart"/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Рыбновский</w:t>
      </w:r>
      <w:proofErr w:type="spellEnd"/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р-н, г. Рыбное, ул. Крымская(</w:t>
      </w:r>
      <w:proofErr w:type="spellStart"/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ул.Большая</w:t>
      </w:r>
      <w:proofErr w:type="spellEnd"/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), принадлежит застройщику  на основании Договора №238-14 аренды земельного участка от 04 августа 2014 года. 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Участок, отведенный под строительство, расположен по ул. Крымская(</w:t>
      </w:r>
      <w:proofErr w:type="spellStart"/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ул.Большая</w:t>
      </w:r>
      <w:proofErr w:type="spellEnd"/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в городе Рыбное Рязанской области и граничит: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 северо-востока – 5-ти этажный жилой дом №26, местный проезд;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 юго-востока –  территория свободная от застройки;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 северо-запада – свободная от застройки территория; 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 юго-запада – свободная от застройки территория, грунтовая дорога;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Предусмотрены следующие элементы благоустройства: устройство детского городка, детской площадки для игр детей, спортивной площадки, площадки для отдыха с набором малых форм, урна для мусора и скамейки, хозяйственная площадка с контейнерами для мусора. Все площадки имеют соответствующие покрытие и оборудование. Подъезды и тротуары — асфальтобетонные.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Количество этажей — 9 (Девять).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Общая площадь жилого дома —8318,57 </w:t>
      </w:r>
      <w:proofErr w:type="spellStart"/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кв.м</w:t>
      </w:r>
      <w:proofErr w:type="spellEnd"/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Общая площадь квартир — 6020,19 </w:t>
      </w:r>
      <w:proofErr w:type="spellStart"/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кв.м</w:t>
      </w:r>
      <w:proofErr w:type="spellEnd"/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доме, в соответствии с проектной документацией, 135 квартир, из которых: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-1-комн. – 72 шт., проектной площадью от 30,65 до 40,71 </w:t>
      </w:r>
      <w:proofErr w:type="spellStart"/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кв.м</w:t>
      </w:r>
      <w:proofErr w:type="spellEnd"/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.;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-2-комн. – 45 шт., проектной площадью от 48,08 до 60,22 </w:t>
      </w:r>
      <w:proofErr w:type="spellStart"/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кв.м</w:t>
      </w:r>
      <w:proofErr w:type="spellEnd"/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.;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-3-комн. – 18 шт., проектной площадью от 72,28 до 84,07 </w:t>
      </w:r>
      <w:proofErr w:type="spellStart"/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кв.м</w:t>
      </w:r>
      <w:proofErr w:type="spellEnd"/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Высота потолка в квартирах не менее 2,5 м.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Высота технического подполья — не менее 1,8 м.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Фундамент — свайный;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Наружние</w:t>
      </w:r>
      <w:proofErr w:type="spellEnd"/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стены — силикатный кирпич, утепление, декоративная отделка;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Внутренние несущие стены – силикатный кирпич, внутренние ненесущие стены - </w:t>
      </w:r>
      <w:r w:rsidRPr="00CD6302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силикатный кирпич;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Кровля – плоская, с внутренним организованным водостоком; 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Окна — ПВХ;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Отопление квартир — индивидуальное, отопительные газовые котлы;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Вентиляция – приточно-вытяжная с естественным побуждением;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Водопровод, газ, канализация, электроснабжение — от существующих городских сетей.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составе общего имущества дома включены лестничные клетки, лестничные площадки, в том числе межквартирные лестничные площадки, лестницы, а также крыша, ограждающие несущие и не 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дом.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Предполагаемый срок получения разрешения на ввод объекта в эксплуатацию – 4 квартал 2016 года.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 государственной приемке объекта строительства предполагается участие представителей администрации города, государственного архитектурно-строительного, санитарно-эпидемиологического надзоров, противопожарной службы и других организаций, согласно распоряжения администрации города о создании государственной приемочной комиссии. 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При осуществлении проекта строительства возможны риски, связанные с политической и экономической ситуацией в РФ и Рязанской области, риски, связанные с изменением валютного регулирования, изменением налогового законодательства, изменением правил таможенного контроля и пошлин, изменением цен на строительные материалы и работы.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При определении доходов организация руководствуется п. 2 ст. 271 НК РФ. Финансовый результат организации определяется в виде разницы между средствами целевого финансирования по договорам, заключенным с инвесторами, и фактическими затратами по строительству объекта.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Генеральным подрядчиком строительства является ООО «Торгово-строительная компания «Реконструкция».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Свидетельство № 0021.03-2011-6231057968-С-135 от 14 февраля 2012 года о допуске к работам которые оказывают влияние на безопасность объектов капитального строительства. Свидетельство выдано НП «Саморегулируемой организацией «Объединение Рязанских строителей» ООО « Торгово-строительная компания «Реконструкция ».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Способ обеспечения исполнения обязательств –страхование застройщика за неисполнение или ненадлежащее исполнение обязательств по передаче жилого помещения.</w:t>
      </w: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Договор от 04 декабря 2014 года №21-Н-А-034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строительстве, заключенный между Застройщиком и Страховой организацией – ООО «Страхования Компания «МРСК» (Лицензия С№0776 77 от 28 февраля 2012 года, регистрационный номер по единому государственному реестру субъектов страхового дела 0776).</w:t>
      </w:r>
    </w:p>
    <w:p w:rsidR="00CD6302" w:rsidRPr="00CD6302" w:rsidRDefault="00CD6302" w:rsidP="00CD6302">
      <w:pPr>
        <w:spacing w:after="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Настоящая Проектная декларация размещена на </w:t>
      </w:r>
      <w:proofErr w:type="gramStart"/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сайте:  </w:t>
      </w:r>
      <w:proofErr w:type="spellStart"/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золотыеключи</w:t>
      </w:r>
      <w:proofErr w:type="gramEnd"/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.рф</w:t>
      </w:r>
      <w:proofErr w:type="spellEnd"/>
    </w:p>
    <w:p w:rsidR="00CD6302" w:rsidRPr="00CD6302" w:rsidRDefault="00CD6302" w:rsidP="00CD6302">
      <w:pPr>
        <w:spacing w:after="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3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Оригинал Проектной декларации хранится в офисе ООО «Перспектива» по адресу: 390000, город Рязань, улица Горького, дом 59.</w:t>
      </w:r>
    </w:p>
    <w:p w:rsidR="00E839BC" w:rsidRDefault="00E839BC" w:rsidP="00CD6302"/>
    <w:sectPr w:rsidR="00E83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02"/>
    <w:rsid w:val="00CD6302"/>
    <w:rsid w:val="00E8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B0BCA-28B1-4D67-B03D-3F5910FA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6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D63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D63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3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63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63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justify">
    <w:name w:val="justify"/>
    <w:basedOn w:val="a"/>
    <w:rsid w:val="00CD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6302"/>
  </w:style>
  <w:style w:type="character" w:styleId="a3">
    <w:name w:val="Strong"/>
    <w:basedOn w:val="a0"/>
    <w:uiPriority w:val="22"/>
    <w:qFormat/>
    <w:rsid w:val="00CD63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2017-06-16T12:54:00Z</dcterms:created>
  <dcterms:modified xsi:type="dcterms:W3CDTF">2017-06-16T12:55:00Z</dcterms:modified>
</cp:coreProperties>
</file>